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Multisensor EO</w:t>
      </w:r>
    </w:p>
    <w:p>
      <w:pPr/>
      <w:r>
        <w:rPr>
          <w:b w:val="1"/>
          <w:bCs w:val="1"/>
        </w:rPr>
        <w:t xml:space="preserve">IP - Unterputz weiß</w:t>
      </w:r>
    </w:p>
    <w:p/>
    <w:p>
      <w:pPr/>
      <w:r>
        <w:rPr/>
        <w:t xml:space="preserve">Passiv Infrarot, Multisensor im Innenbereich mit IP  Schnittstelle, 360 °, elektronische Reichweiteneinstellung, geeignet für Montagehöhe 2,5 – 3,5 m; optionale Montagehöhe 2,8 m, Versorgungsspannung: 44 – 57 V, Passive PoE SELV, Standard PoE (IEEE 802.3 af); Schutzart: IP20; Einstellung via: Bluetooth Mesh; Vernetzung via Bluetooth Mesh; Farbe: Weiß; Abmessungen (L x B x H): 103 x 103 x 52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091163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Multisensor EO IP - Unterputz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2026-07-25T01:03:17+02:00</dcterms:created>
  <dcterms:modified xsi:type="dcterms:W3CDTF">2026-07-25T01:03:17+02:00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